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550" w:rsidRPr="00886550" w:rsidRDefault="00886550" w:rsidP="00886550">
      <w:pPr>
        <w:spacing w:after="0" w:line="240" w:lineRule="auto"/>
        <w:rPr>
          <w:rFonts w:asciiTheme="majorHAnsi" w:eastAsia="Times New Roman" w:hAnsiTheme="majorHAnsi" w:cs="Times New Roman"/>
          <w:b/>
          <w:color w:val="111111"/>
        </w:rPr>
      </w:pPr>
      <w:r w:rsidRPr="00886550">
        <w:rPr>
          <w:rFonts w:asciiTheme="majorHAnsi" w:eastAsia="Times New Roman" w:hAnsiTheme="majorHAnsi" w:cs="Calibri"/>
          <w:b/>
          <w:color w:val="000000"/>
        </w:rPr>
        <w:t xml:space="preserve">Term Paper Evaluation Sheet – </w:t>
      </w:r>
      <w:proofErr w:type="gramStart"/>
      <w:r w:rsidRPr="00886550">
        <w:rPr>
          <w:rFonts w:asciiTheme="majorHAnsi" w:eastAsia="Times New Roman" w:hAnsiTheme="majorHAnsi" w:cs="Calibri"/>
          <w:b/>
          <w:color w:val="000000"/>
        </w:rPr>
        <w:t>Spring</w:t>
      </w:r>
      <w:proofErr w:type="gramEnd"/>
      <w:r w:rsidRPr="00886550">
        <w:rPr>
          <w:rFonts w:asciiTheme="majorHAnsi" w:eastAsia="Times New Roman" w:hAnsiTheme="majorHAnsi" w:cs="Calibri"/>
          <w:b/>
          <w:color w:val="000000"/>
        </w:rPr>
        <w:t xml:space="preserve"> 2012</w:t>
      </w:r>
    </w:p>
    <w:p w:rsidR="00886550" w:rsidRDefault="00886550" w:rsidP="00886550">
      <w:pPr>
        <w:spacing w:after="0" w:line="240" w:lineRule="auto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b/>
          <w:color w:val="111111"/>
        </w:rPr>
        <w:t>A.P. Literature/ Mrs. Maloney</w:t>
      </w:r>
      <w:r w:rsidR="006A2609">
        <w:rPr>
          <w:rFonts w:asciiTheme="majorHAnsi" w:eastAsia="Times New Roman" w:hAnsiTheme="majorHAnsi" w:cs="Times New Roman"/>
          <w:b/>
          <w:color w:val="111111"/>
        </w:rPr>
        <w:t xml:space="preserve"> and Ms. Ling</w:t>
      </w:r>
      <w:r w:rsidRPr="00886550">
        <w:rPr>
          <w:rFonts w:asciiTheme="majorHAnsi" w:eastAsia="Times New Roman" w:hAnsiTheme="majorHAnsi" w:cs="Times New Roman"/>
          <w:color w:val="111111"/>
        </w:rPr>
        <w:br/>
        <w:t xml:space="preserve">                                                       </w:t>
      </w:r>
      <w:r>
        <w:rPr>
          <w:rFonts w:asciiTheme="majorHAnsi" w:eastAsia="Times New Roman" w:hAnsiTheme="majorHAnsi" w:cs="Times New Roman"/>
          <w:color w:val="111111"/>
        </w:rPr>
        <w:tab/>
      </w:r>
      <w:r>
        <w:rPr>
          <w:rFonts w:asciiTheme="majorHAnsi" w:eastAsia="Times New Roman" w:hAnsiTheme="majorHAnsi" w:cs="Times New Roman"/>
          <w:color w:val="111111"/>
        </w:rPr>
        <w:tab/>
      </w:r>
      <w:r>
        <w:rPr>
          <w:rFonts w:asciiTheme="majorHAnsi" w:eastAsia="Times New Roman" w:hAnsiTheme="majorHAnsi" w:cs="Times New Roman"/>
          <w:color w:val="111111"/>
        </w:rPr>
        <w:tab/>
      </w:r>
    </w:p>
    <w:p w:rsidR="00886550" w:rsidRPr="00886550" w:rsidRDefault="00886550" w:rsidP="00886550">
      <w:pPr>
        <w:spacing w:after="0" w:line="240" w:lineRule="auto"/>
        <w:jc w:val="center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>Student Name:  ______________________________________</w:t>
      </w:r>
      <w:r>
        <w:rPr>
          <w:rFonts w:asciiTheme="majorHAnsi" w:eastAsia="Times New Roman" w:hAnsiTheme="majorHAnsi" w:cs="Times New Roman"/>
          <w:color w:val="111111"/>
        </w:rPr>
        <w:t>__________</w:t>
      </w:r>
    </w:p>
    <w:p w:rsidR="00886550" w:rsidRPr="00886550" w:rsidRDefault="00886550" w:rsidP="00886550">
      <w:pPr>
        <w:spacing w:after="0" w:line="240" w:lineRule="auto"/>
        <w:jc w:val="center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> </w:t>
      </w:r>
    </w:p>
    <w:p w:rsidR="00886550" w:rsidRPr="00886550" w:rsidRDefault="00886550" w:rsidP="00886550">
      <w:pPr>
        <w:spacing w:after="0" w:line="240" w:lineRule="auto"/>
        <w:rPr>
          <w:rFonts w:asciiTheme="majorHAnsi" w:eastAsia="Times New Roman" w:hAnsiTheme="majorHAnsi" w:cs="Times New Roman"/>
          <w:b/>
          <w:color w:val="111111"/>
        </w:rPr>
      </w:pPr>
      <w:r w:rsidRPr="00886550">
        <w:rPr>
          <w:rFonts w:asciiTheme="majorHAnsi" w:eastAsia="Times New Roman" w:hAnsiTheme="majorHAnsi" w:cs="Times New Roman"/>
          <w:b/>
          <w:color w:val="111111"/>
          <w:u w:val="single"/>
        </w:rPr>
        <w:t>Reading</w:t>
      </w:r>
      <w:r w:rsidRPr="00886550">
        <w:rPr>
          <w:rFonts w:asciiTheme="majorHAnsi" w:eastAsia="Times New Roman" w:hAnsiTheme="majorHAnsi" w:cs="Times New Roman"/>
          <w:b/>
          <w:color w:val="111111"/>
        </w:rPr>
        <w:t xml:space="preserve">:  </w:t>
      </w:r>
    </w:p>
    <w:p w:rsidR="00886550" w:rsidRDefault="00886550" w:rsidP="00886550">
      <w:pPr>
        <w:spacing w:after="0" w:line="240" w:lineRule="auto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spacing w:after="0" w:line="240" w:lineRule="auto"/>
        <w:ind w:left="720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 xml:space="preserve">Deep and thorough (A.P.-level) reading of at least two novels of high literary merit and one additional text, which may or may not be </w:t>
      </w:r>
      <w:r w:rsidR="00CE20E4">
        <w:rPr>
          <w:rFonts w:asciiTheme="majorHAnsi" w:eastAsia="Times New Roman" w:hAnsiTheme="majorHAnsi" w:cs="Times New Roman"/>
          <w:color w:val="111111"/>
        </w:rPr>
        <w:t>fiction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 (</w:t>
      </w:r>
      <w:r w:rsidRPr="00886550">
        <w:rPr>
          <w:rFonts w:asciiTheme="majorHAnsi" w:eastAsia="Times New Roman" w:hAnsiTheme="majorHAnsi" w:cs="Times New Roman"/>
          <w:color w:val="111111"/>
          <w:u w:val="single"/>
        </w:rPr>
        <w:t>three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 primary texts); reading also of at least </w:t>
      </w:r>
      <w:r w:rsidRPr="00886550">
        <w:rPr>
          <w:rFonts w:asciiTheme="majorHAnsi" w:eastAsia="Times New Roman" w:hAnsiTheme="majorHAnsi" w:cs="Times New Roman"/>
          <w:color w:val="111111"/>
          <w:u w:val="single"/>
        </w:rPr>
        <w:t>seven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 other research sources (seven secondary sources), including at least four sources of literary criticism.  </w:t>
      </w:r>
    </w:p>
    <w:p w:rsidR="00886550" w:rsidRPr="00886550" w:rsidRDefault="00886550" w:rsidP="00886550">
      <w:pPr>
        <w:spacing w:after="0" w:line="240" w:lineRule="auto"/>
        <w:ind w:left="360" w:firstLine="45"/>
        <w:rPr>
          <w:rFonts w:asciiTheme="majorHAnsi" w:eastAsia="Times New Roman" w:hAnsiTheme="majorHAnsi" w:cs="Times New Roman"/>
          <w:color w:val="111111"/>
        </w:rPr>
      </w:pPr>
      <w:bookmarkStart w:id="0" w:name="_GoBack"/>
      <w:bookmarkEnd w:id="0"/>
    </w:p>
    <w:p w:rsidR="00886550" w:rsidRPr="00886550" w:rsidRDefault="00886550" w:rsidP="00886550">
      <w:pPr>
        <w:pStyle w:val="ListParagraph"/>
        <w:spacing w:after="0" w:line="240" w:lineRule="auto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 xml:space="preserve">Paper conveys strong focus on </w:t>
      </w:r>
      <w:r w:rsidRPr="00886550">
        <w:rPr>
          <w:rFonts w:asciiTheme="majorHAnsi" w:eastAsia="Times New Roman" w:hAnsiTheme="majorHAnsi" w:cs="Times New Roman"/>
          <w:i/>
          <w:color w:val="111111"/>
        </w:rPr>
        <w:t>how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 writers create and convey meaning in imaginative literature (through discussion of literary elements).  </w:t>
      </w:r>
    </w:p>
    <w:p w:rsidR="00886550" w:rsidRPr="00886550" w:rsidRDefault="00886550" w:rsidP="00886550">
      <w:pPr>
        <w:spacing w:after="0" w:line="240" w:lineRule="auto"/>
        <w:ind w:left="360" w:firstLine="45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pStyle w:val="ListParagraph"/>
        <w:spacing w:after="0" w:line="240" w:lineRule="auto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>Evidence of reading is fresh and authentic, conveying time and effort allotted for this reading and providing evidence of reader’s efforts and successes at reading  fresh insights into literature.</w:t>
      </w:r>
    </w:p>
    <w:p w:rsidR="00886550" w:rsidRPr="00886550" w:rsidRDefault="00886550" w:rsidP="00886550">
      <w:pPr>
        <w:spacing w:after="0" w:line="240" w:lineRule="auto"/>
        <w:ind w:left="360" w:firstLine="45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pStyle w:val="ListParagraph"/>
        <w:spacing w:after="0" w:line="240" w:lineRule="auto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 xml:space="preserve">Paper conveys layered and complex reading through synthesis of sources:  by bringing other source material to reading of primary sources and by </w:t>
      </w:r>
      <w:r w:rsidRPr="00886550">
        <w:rPr>
          <w:rFonts w:asciiTheme="majorHAnsi" w:eastAsia="Times New Roman" w:hAnsiTheme="majorHAnsi" w:cs="Times New Roman"/>
          <w:color w:val="111111"/>
          <w:u w:val="single"/>
        </w:rPr>
        <w:t>making important connections across primary texts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.  </w:t>
      </w:r>
    </w:p>
    <w:p w:rsidR="00886550" w:rsidRPr="00886550" w:rsidRDefault="00886550" w:rsidP="00886550">
      <w:pPr>
        <w:spacing w:after="0" w:line="240" w:lineRule="auto"/>
        <w:ind w:left="360" w:firstLine="45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pStyle w:val="ListParagraph"/>
        <w:spacing w:after="0" w:line="240" w:lineRule="auto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>Extensive and thorough evidence of reading conveyed through detail, quote selection and more.</w:t>
      </w:r>
    </w:p>
    <w:p w:rsidR="00886550" w:rsidRPr="00886550" w:rsidRDefault="00886550" w:rsidP="00886550">
      <w:pPr>
        <w:spacing w:after="0" w:line="240" w:lineRule="auto"/>
        <w:ind w:firstLine="45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spacing w:line="240" w:lineRule="auto"/>
        <w:rPr>
          <w:rFonts w:asciiTheme="majorHAnsi" w:eastAsia="Times New Roman" w:hAnsiTheme="majorHAnsi" w:cs="Times New Roman"/>
          <w:b/>
          <w:color w:val="111111"/>
        </w:rPr>
      </w:pPr>
      <w:r w:rsidRPr="00886550">
        <w:rPr>
          <w:rFonts w:asciiTheme="majorHAnsi" w:eastAsia="Times New Roman" w:hAnsiTheme="majorHAnsi" w:cs="Times New Roman"/>
          <w:b/>
          <w:color w:val="111111"/>
          <w:u w:val="single"/>
        </w:rPr>
        <w:t>Research</w:t>
      </w:r>
      <w:r w:rsidRPr="00886550">
        <w:rPr>
          <w:rFonts w:asciiTheme="majorHAnsi" w:eastAsia="Times New Roman" w:hAnsiTheme="majorHAnsi" w:cs="Times New Roman"/>
          <w:b/>
          <w:color w:val="111111"/>
        </w:rPr>
        <w:t xml:space="preserve">:  </w:t>
      </w:r>
    </w:p>
    <w:p w:rsidR="00886550" w:rsidRPr="00886550" w:rsidRDefault="00886550" w:rsidP="00886550">
      <w:pPr>
        <w:spacing w:line="240" w:lineRule="auto"/>
        <w:ind w:left="720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>Research</w:t>
      </w:r>
      <w:r w:rsidRPr="00886550">
        <w:rPr>
          <w:rFonts w:asciiTheme="majorHAnsi" w:eastAsia="Times New Roman" w:hAnsiTheme="majorHAnsi" w:cs="Times New Roman"/>
          <w:color w:val="111111"/>
          <w:u w:val="single"/>
        </w:rPr>
        <w:t xml:space="preserve"> </w:t>
      </w:r>
      <w:r w:rsidRPr="00886550">
        <w:rPr>
          <w:rFonts w:asciiTheme="majorHAnsi" w:eastAsia="Times New Roman" w:hAnsiTheme="majorHAnsi" w:cs="Times New Roman"/>
          <w:color w:val="111111"/>
        </w:rPr>
        <w:t>from 7+ research sources (literary/non-literary) effectively woven into your paper – to support and to deepen/extend discussion of literature; research is blended – not simply discussion of one source at a time.  Research includes quotation, paraphrase and summary.</w:t>
      </w:r>
    </w:p>
    <w:p w:rsidR="00886550" w:rsidRPr="00886550" w:rsidRDefault="00886550" w:rsidP="00886550">
      <w:pPr>
        <w:spacing w:after="0" w:line="240" w:lineRule="auto"/>
        <w:ind w:firstLine="45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spacing w:line="240" w:lineRule="auto"/>
        <w:rPr>
          <w:rFonts w:asciiTheme="majorHAnsi" w:eastAsia="Times New Roman" w:hAnsiTheme="majorHAnsi" w:cs="Times New Roman"/>
          <w:b/>
          <w:color w:val="111111"/>
        </w:rPr>
      </w:pPr>
      <w:r w:rsidRPr="00886550">
        <w:rPr>
          <w:rFonts w:asciiTheme="majorHAnsi" w:eastAsia="Times New Roman" w:hAnsiTheme="majorHAnsi" w:cs="Times New Roman"/>
          <w:b/>
          <w:color w:val="111111"/>
          <w:u w:val="single"/>
        </w:rPr>
        <w:t>Thinking</w:t>
      </w:r>
      <w:r w:rsidRPr="00886550">
        <w:rPr>
          <w:rFonts w:asciiTheme="majorHAnsi" w:eastAsia="Times New Roman" w:hAnsiTheme="majorHAnsi" w:cs="Times New Roman"/>
          <w:b/>
          <w:color w:val="111111"/>
        </w:rPr>
        <w:t xml:space="preserve">:  </w:t>
      </w:r>
    </w:p>
    <w:p w:rsidR="00886550" w:rsidRPr="00886550" w:rsidRDefault="00886550" w:rsidP="00886550">
      <w:pPr>
        <w:spacing w:line="240" w:lineRule="auto"/>
        <w:ind w:left="720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 xml:space="preserve">High-level critical and creative thinking involving analysis within and across texts; effective synthesis across literary and non-literary sources; thinking is effectively deep, layered and complicated, offering a consideration of an inquiry question through literature, with additional reading and research to support and to bolster that reading.  </w:t>
      </w:r>
    </w:p>
    <w:p w:rsidR="00886550" w:rsidRPr="00886550" w:rsidRDefault="00886550" w:rsidP="00886550">
      <w:pPr>
        <w:spacing w:after="0" w:line="240" w:lineRule="auto"/>
        <w:ind w:firstLine="45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spacing w:after="0" w:line="240" w:lineRule="auto"/>
        <w:rPr>
          <w:rFonts w:asciiTheme="majorHAnsi" w:eastAsia="Times New Roman" w:hAnsiTheme="majorHAnsi" w:cs="Times New Roman"/>
          <w:b/>
          <w:color w:val="111111"/>
        </w:rPr>
      </w:pPr>
      <w:r w:rsidRPr="00886550">
        <w:rPr>
          <w:rFonts w:asciiTheme="majorHAnsi" w:eastAsia="Times New Roman" w:hAnsiTheme="majorHAnsi" w:cs="Times New Roman"/>
          <w:b/>
          <w:color w:val="111111"/>
          <w:u w:val="single"/>
        </w:rPr>
        <w:t>Writing</w:t>
      </w:r>
      <w:r w:rsidRPr="00886550">
        <w:rPr>
          <w:rFonts w:asciiTheme="majorHAnsi" w:eastAsia="Times New Roman" w:hAnsiTheme="majorHAnsi" w:cs="Times New Roman"/>
          <w:b/>
          <w:color w:val="111111"/>
        </w:rPr>
        <w:t xml:space="preserve">:  </w:t>
      </w:r>
    </w:p>
    <w:p w:rsidR="00886550" w:rsidRDefault="00886550" w:rsidP="00886550">
      <w:pPr>
        <w:spacing w:after="0" w:line="240" w:lineRule="auto"/>
        <w:rPr>
          <w:rFonts w:asciiTheme="majorHAnsi" w:eastAsia="Times New Roman" w:hAnsiTheme="majorHAnsi" w:cs="Times New Roman"/>
          <w:color w:val="111111"/>
        </w:rPr>
      </w:pPr>
    </w:p>
    <w:p w:rsidR="00886550" w:rsidRDefault="00886550" w:rsidP="00886550">
      <w:pPr>
        <w:spacing w:after="0" w:line="240" w:lineRule="auto"/>
        <w:ind w:left="720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 xml:space="preserve">Writing is clear, fluid and skillful; discussion of all sources is effectively woven together; main argument is clear and is extended across paper; beginning and ending used effectively to frame and to extend discussion (see more details on this below, under "Focus/Unity/Structure").  </w:t>
      </w:r>
    </w:p>
    <w:p w:rsidR="00886550" w:rsidRDefault="00886550" w:rsidP="00886550">
      <w:pPr>
        <w:spacing w:after="0" w:line="240" w:lineRule="auto"/>
        <w:ind w:left="720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spacing w:after="0" w:line="240" w:lineRule="auto"/>
        <w:ind w:left="720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lastRenderedPageBreak/>
        <w:t xml:space="preserve">Paper is thoroughly revised and edited.  </w:t>
      </w:r>
      <w:r w:rsidRPr="006A2609">
        <w:rPr>
          <w:rFonts w:asciiTheme="majorHAnsi" w:eastAsia="Times New Roman" w:hAnsiTheme="majorHAnsi" w:cs="Times New Roman"/>
          <w:i/>
          <w:color w:val="111111"/>
        </w:rPr>
        <w:t>Writer shows learning from prior revision/editing feedback – across year.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  </w:t>
      </w:r>
      <w:proofErr w:type="gramStart"/>
      <w:r w:rsidRPr="00886550">
        <w:rPr>
          <w:rFonts w:asciiTheme="majorHAnsi" w:eastAsia="Times New Roman" w:hAnsiTheme="majorHAnsi" w:cs="Times New Roman"/>
          <w:color w:val="111111"/>
        </w:rPr>
        <w:t>Written in/with scholarly voice.</w:t>
      </w:r>
      <w:proofErr w:type="gramEnd"/>
      <w:r w:rsidRPr="00886550">
        <w:rPr>
          <w:rFonts w:asciiTheme="majorHAnsi" w:eastAsia="Times New Roman" w:hAnsiTheme="majorHAnsi" w:cs="Times New Roman"/>
          <w:color w:val="111111"/>
        </w:rPr>
        <w:t xml:space="preserve">  </w:t>
      </w:r>
      <w:proofErr w:type="gramStart"/>
      <w:r w:rsidRPr="00886550">
        <w:rPr>
          <w:rFonts w:asciiTheme="majorHAnsi" w:eastAsia="Times New Roman" w:hAnsiTheme="majorHAnsi" w:cs="Times New Roman"/>
          <w:color w:val="111111"/>
        </w:rPr>
        <w:t>Minimum of 9 pages, double-spaced, 12-point font, 1” margins.</w:t>
      </w:r>
      <w:proofErr w:type="gramEnd"/>
    </w:p>
    <w:p w:rsidR="00886550" w:rsidRPr="00886550" w:rsidRDefault="00886550" w:rsidP="00886550">
      <w:pPr>
        <w:spacing w:after="0" w:line="240" w:lineRule="auto"/>
        <w:ind w:firstLine="45"/>
        <w:rPr>
          <w:rFonts w:asciiTheme="majorHAnsi" w:eastAsia="Times New Roman" w:hAnsiTheme="majorHAnsi" w:cs="Times New Roman"/>
          <w:color w:val="111111"/>
        </w:rPr>
      </w:pPr>
    </w:p>
    <w:p w:rsidR="00886550" w:rsidRDefault="00886550" w:rsidP="00886550">
      <w:pPr>
        <w:pStyle w:val="ListParagraph"/>
        <w:numPr>
          <w:ilvl w:val="0"/>
          <w:numId w:val="2"/>
        </w:numPr>
        <w:spacing w:line="240" w:lineRule="auto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  <w:u w:val="single"/>
        </w:rPr>
        <w:t>Textual Support</w:t>
      </w:r>
      <w:r w:rsidRPr="00886550">
        <w:rPr>
          <w:rFonts w:asciiTheme="majorHAnsi" w:eastAsia="Times New Roman" w:hAnsiTheme="majorHAnsi" w:cs="Times New Roman"/>
          <w:color w:val="111111"/>
        </w:rPr>
        <w:t>:  Textual support is frequently and fluidly integrated into writing; quotes are effectively selected (only when exact wording is necessary) and blended, with introductions and follow-up as needed; paraphrase and summary are also used effectively as tools for integrating research information.  All is effectively cited.</w:t>
      </w:r>
    </w:p>
    <w:p w:rsidR="00886550" w:rsidRPr="00886550" w:rsidRDefault="00886550" w:rsidP="00886550">
      <w:pPr>
        <w:pStyle w:val="ListParagraph"/>
        <w:spacing w:line="240" w:lineRule="auto"/>
        <w:ind w:left="1080"/>
        <w:rPr>
          <w:rFonts w:asciiTheme="majorHAnsi" w:eastAsia="Times New Roman" w:hAnsiTheme="majorHAnsi" w:cs="Times New Roman"/>
          <w:color w:val="111111"/>
        </w:rPr>
      </w:pPr>
    </w:p>
    <w:p w:rsidR="00886550" w:rsidRDefault="00886550" w:rsidP="0088655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  <w:u w:val="single"/>
        </w:rPr>
        <w:t>Formatting</w:t>
      </w:r>
      <w:r w:rsidRPr="00886550">
        <w:rPr>
          <w:rFonts w:asciiTheme="majorHAnsi" w:eastAsia="Times New Roman" w:hAnsiTheme="majorHAnsi" w:cs="Times New Roman"/>
          <w:color w:val="111111"/>
        </w:rPr>
        <w:t>:  MLA formatting is accurately used to integrate research sources and to format paper.  Paper effectively uses parenthetical citations.  Works Cited is thorough and accurate – containing at least 10 sources.</w:t>
      </w:r>
    </w:p>
    <w:p w:rsidR="00886550" w:rsidRPr="00886550" w:rsidRDefault="00886550" w:rsidP="00886550">
      <w:pPr>
        <w:pStyle w:val="ListParagraph"/>
        <w:spacing w:after="0" w:line="240" w:lineRule="auto"/>
        <w:ind w:left="1080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  <w:u w:val="single"/>
        </w:rPr>
        <w:t>Focus/Structure/Unity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:  Paper effectively focuses on conveying responses found to inquiry question in three main texts, with support for reading in discussion of secondary sources; focus is held across entire paper; fluid and effective transitions.  Introduction and conclusion effectively frame discussion and connect discussion to larger issues: </w:t>
      </w:r>
    </w:p>
    <w:p w:rsidR="00886550" w:rsidRPr="00886550" w:rsidRDefault="00886550" w:rsidP="00886550">
      <w:pPr>
        <w:pStyle w:val="ListParagraph"/>
        <w:spacing w:line="240" w:lineRule="auto"/>
        <w:ind w:left="1440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pStyle w:val="ListParagraph"/>
        <w:numPr>
          <w:ilvl w:val="1"/>
          <w:numId w:val="2"/>
        </w:numPr>
        <w:spacing w:line="240" w:lineRule="auto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b/>
          <w:color w:val="111111"/>
          <w:u w:val="single"/>
        </w:rPr>
        <w:t>Introduction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 sets a context, poses inquiry question, names three primary texts by titles and authors; and conveys specific response found in the texts (both “the what” and “the how”) to inquiry question</w:t>
      </w:r>
    </w:p>
    <w:p w:rsidR="00886550" w:rsidRPr="00886550" w:rsidRDefault="00886550" w:rsidP="00886550">
      <w:pPr>
        <w:pStyle w:val="ListParagraph"/>
        <w:spacing w:line="240" w:lineRule="auto"/>
        <w:ind w:left="2160"/>
        <w:rPr>
          <w:rFonts w:asciiTheme="majorHAnsi" w:eastAsia="Times New Roman" w:hAnsiTheme="majorHAnsi" w:cs="Times New Roman"/>
          <w:color w:val="111111"/>
        </w:rPr>
      </w:pPr>
    </w:p>
    <w:p w:rsidR="00886550" w:rsidRPr="006A2609" w:rsidRDefault="00886550" w:rsidP="00886550">
      <w:pPr>
        <w:pStyle w:val="ListParagraph"/>
        <w:numPr>
          <w:ilvl w:val="1"/>
          <w:numId w:val="2"/>
        </w:numPr>
        <w:spacing w:line="240" w:lineRule="auto"/>
        <w:rPr>
          <w:rFonts w:asciiTheme="majorHAnsi" w:eastAsia="Times New Roman" w:hAnsiTheme="majorHAnsi" w:cs="Times New Roman"/>
          <w:i/>
          <w:color w:val="111111"/>
        </w:rPr>
      </w:pPr>
      <w:r w:rsidRPr="00886550">
        <w:rPr>
          <w:rFonts w:asciiTheme="majorHAnsi" w:eastAsia="Times New Roman" w:hAnsiTheme="majorHAnsi" w:cs="Times New Roman"/>
          <w:b/>
          <w:color w:val="111111"/>
          <w:u w:val="single"/>
        </w:rPr>
        <w:t>Conclusion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 does more than wrap up discussion; also considers “the ‘so what?’ question”; considers if/how this literature offers relevant information to help us problem-solve (to understand the problem and/or to consider solutions to the problem);  </w:t>
      </w:r>
      <w:r w:rsidRPr="006A2609">
        <w:rPr>
          <w:rFonts w:asciiTheme="majorHAnsi" w:eastAsia="Times New Roman" w:hAnsiTheme="majorHAnsi" w:cs="Times New Roman"/>
          <w:i/>
          <w:color w:val="111111"/>
        </w:rPr>
        <w:t xml:space="preserve">and </w:t>
      </w:r>
      <w:r w:rsidR="006A2609" w:rsidRPr="006A2609">
        <w:rPr>
          <w:rFonts w:asciiTheme="majorHAnsi" w:eastAsia="Times New Roman" w:hAnsiTheme="majorHAnsi" w:cs="Times New Roman"/>
          <w:color w:val="111111"/>
        </w:rPr>
        <w:t>(OPTIONAL – more TBD later)</w:t>
      </w:r>
      <w:r w:rsidR="006A2609">
        <w:rPr>
          <w:rFonts w:asciiTheme="majorHAnsi" w:eastAsia="Times New Roman" w:hAnsiTheme="majorHAnsi" w:cs="Times New Roman"/>
          <w:i/>
          <w:color w:val="111111"/>
        </w:rPr>
        <w:t xml:space="preserve"> </w:t>
      </w:r>
      <w:r w:rsidRPr="006A2609">
        <w:rPr>
          <w:rFonts w:asciiTheme="majorHAnsi" w:eastAsia="Times New Roman" w:hAnsiTheme="majorHAnsi" w:cs="Times New Roman"/>
          <w:i/>
          <w:color w:val="111111"/>
        </w:rPr>
        <w:t>discusses actions one (you) could take to take action in the world relative to this question</w:t>
      </w:r>
      <w:r w:rsidR="00E27380" w:rsidRPr="006A2609">
        <w:rPr>
          <w:rFonts w:asciiTheme="majorHAnsi" w:eastAsia="Times New Roman" w:hAnsiTheme="majorHAnsi" w:cs="Times New Roman"/>
          <w:i/>
          <w:color w:val="111111"/>
        </w:rPr>
        <w:t xml:space="preserve"> (note:  </w:t>
      </w:r>
      <w:r w:rsidRPr="006A2609">
        <w:rPr>
          <w:rFonts w:asciiTheme="majorHAnsi" w:eastAsia="Times New Roman" w:hAnsiTheme="majorHAnsi" w:cs="Times New Roman"/>
          <w:i/>
          <w:color w:val="111111"/>
        </w:rPr>
        <w:t>you can move into the personal voice to do this last part -- perhaps indicating what action(s) you might want to take this year and perhaps even beyond -- as you move toward college and your life beyond</w:t>
      </w:r>
      <w:r w:rsidR="00E27380" w:rsidRPr="006A2609">
        <w:rPr>
          <w:rFonts w:asciiTheme="majorHAnsi" w:eastAsia="Times New Roman" w:hAnsiTheme="majorHAnsi" w:cs="Times New Roman"/>
          <w:i/>
          <w:color w:val="111111"/>
        </w:rPr>
        <w:t>)</w:t>
      </w:r>
      <w:r w:rsidRPr="006A2609">
        <w:rPr>
          <w:rFonts w:asciiTheme="majorHAnsi" w:eastAsia="Times New Roman" w:hAnsiTheme="majorHAnsi" w:cs="Times New Roman"/>
          <w:i/>
          <w:color w:val="111111"/>
        </w:rPr>
        <w:t xml:space="preserve">. </w:t>
      </w:r>
    </w:p>
    <w:p w:rsidR="00886550" w:rsidRPr="00886550" w:rsidRDefault="00886550" w:rsidP="00886550">
      <w:pPr>
        <w:spacing w:line="240" w:lineRule="auto"/>
        <w:rPr>
          <w:rFonts w:asciiTheme="majorHAnsi" w:eastAsia="Times New Roman" w:hAnsiTheme="majorHAnsi" w:cs="Times New Roman"/>
          <w:b/>
          <w:color w:val="111111"/>
          <w:u w:val="single"/>
        </w:rPr>
      </w:pPr>
      <w:r w:rsidRPr="00886550">
        <w:rPr>
          <w:rFonts w:asciiTheme="majorHAnsi" w:eastAsia="Times New Roman" w:hAnsiTheme="majorHAnsi" w:cs="Times New Roman"/>
          <w:b/>
          <w:color w:val="111111"/>
          <w:u w:val="single"/>
        </w:rPr>
        <w:t>Submission:</w:t>
      </w:r>
    </w:p>
    <w:p w:rsidR="00886550" w:rsidRPr="00886550" w:rsidRDefault="00886550" w:rsidP="00886550">
      <w:pPr>
        <w:spacing w:line="240" w:lineRule="auto"/>
        <w:ind w:left="720"/>
        <w:rPr>
          <w:rFonts w:asciiTheme="majorHAnsi" w:eastAsia="Times New Roman" w:hAnsiTheme="majorHAnsi" w:cs="Times New Roman"/>
          <w:color w:val="111111"/>
        </w:rPr>
      </w:pPr>
      <w:r>
        <w:rPr>
          <w:rFonts w:asciiTheme="majorHAnsi" w:eastAsia="Times New Roman" w:hAnsiTheme="majorHAnsi" w:cs="Times New Roman"/>
          <w:color w:val="111111"/>
        </w:rPr>
        <w:t>A p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rinted </w:t>
      </w:r>
      <w:r>
        <w:rPr>
          <w:rFonts w:asciiTheme="majorHAnsi" w:eastAsia="Times New Roman" w:hAnsiTheme="majorHAnsi" w:cs="Times New Roman"/>
          <w:color w:val="111111"/>
        </w:rPr>
        <w:t>copy of your p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aper </w:t>
      </w:r>
      <w:r>
        <w:rPr>
          <w:rFonts w:asciiTheme="majorHAnsi" w:eastAsia="Times New Roman" w:hAnsiTheme="majorHAnsi" w:cs="Times New Roman"/>
          <w:color w:val="111111"/>
        </w:rPr>
        <w:t>is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 due on Monday, April </w:t>
      </w:r>
      <w:r w:rsidR="006A2609">
        <w:rPr>
          <w:rFonts w:asciiTheme="majorHAnsi" w:eastAsia="Times New Roman" w:hAnsiTheme="majorHAnsi" w:cs="Times New Roman"/>
          <w:color w:val="111111"/>
        </w:rPr>
        <w:t>30</w:t>
      </w:r>
      <w:r w:rsidRPr="00886550">
        <w:rPr>
          <w:rFonts w:asciiTheme="majorHAnsi" w:eastAsia="Times New Roman" w:hAnsiTheme="majorHAnsi" w:cs="Times New Roman"/>
          <w:color w:val="111111"/>
        </w:rPr>
        <w:t xml:space="preserve">.  </w:t>
      </w:r>
    </w:p>
    <w:p w:rsidR="00886550" w:rsidRDefault="00886550" w:rsidP="00886550">
      <w:pPr>
        <w:spacing w:line="240" w:lineRule="auto"/>
        <w:ind w:left="720"/>
        <w:rPr>
          <w:rFonts w:asciiTheme="majorHAnsi" w:eastAsia="Times New Roman" w:hAnsiTheme="majorHAnsi" w:cs="Times New Roman"/>
          <w:color w:val="111111"/>
        </w:rPr>
      </w:pPr>
      <w:r w:rsidRPr="00886550">
        <w:rPr>
          <w:rFonts w:asciiTheme="majorHAnsi" w:eastAsia="Times New Roman" w:hAnsiTheme="majorHAnsi" w:cs="Times New Roman"/>
          <w:color w:val="111111"/>
        </w:rPr>
        <w:t xml:space="preserve">Papers will not be counted as “on time” UNTIL YOU SUBMIT YOUR COMPLETED PAPER TO TURNITIN.COM.  Do this by 3PM on April </w:t>
      </w:r>
      <w:r w:rsidR="006A2609">
        <w:rPr>
          <w:rFonts w:asciiTheme="majorHAnsi" w:eastAsia="Times New Roman" w:hAnsiTheme="majorHAnsi" w:cs="Times New Roman"/>
          <w:color w:val="111111"/>
        </w:rPr>
        <w:t>30</w:t>
      </w:r>
      <w:r w:rsidRPr="00886550">
        <w:rPr>
          <w:rFonts w:asciiTheme="majorHAnsi" w:eastAsia="Times New Roman" w:hAnsiTheme="majorHAnsi" w:cs="Times New Roman"/>
          <w:color w:val="111111"/>
        </w:rPr>
        <w:t>.</w:t>
      </w:r>
    </w:p>
    <w:p w:rsidR="00886550" w:rsidRDefault="00886550" w:rsidP="00886550">
      <w:pPr>
        <w:spacing w:line="240" w:lineRule="auto"/>
        <w:ind w:left="720"/>
        <w:rPr>
          <w:rFonts w:asciiTheme="majorHAnsi" w:eastAsia="Times New Roman" w:hAnsiTheme="majorHAnsi" w:cs="Times New Roman"/>
          <w:color w:val="111111"/>
        </w:rPr>
      </w:pPr>
    </w:p>
    <w:p w:rsidR="00886550" w:rsidRPr="00886550" w:rsidRDefault="00886550" w:rsidP="00886550">
      <w:pPr>
        <w:spacing w:line="240" w:lineRule="auto"/>
        <w:rPr>
          <w:rFonts w:asciiTheme="majorHAnsi" w:eastAsia="Times New Roman" w:hAnsiTheme="majorHAnsi" w:cs="Times New Roman"/>
          <w:color w:val="111111"/>
        </w:rPr>
      </w:pPr>
      <w:r>
        <w:rPr>
          <w:rFonts w:asciiTheme="majorHAnsi" w:eastAsia="Times New Roman" w:hAnsiTheme="majorHAnsi" w:cs="Times New Roman"/>
          <w:color w:val="111111"/>
        </w:rPr>
        <w:t>Comments/ Grade:</w:t>
      </w:r>
    </w:p>
    <w:p w:rsidR="00886550" w:rsidRPr="00886550" w:rsidRDefault="00886550" w:rsidP="00886550">
      <w:pPr>
        <w:shd w:val="clear" w:color="auto" w:fill="FFFFFF"/>
        <w:spacing w:beforeAutospacing="1" w:after="100" w:afterAutospacing="1" w:line="240" w:lineRule="auto"/>
        <w:jc w:val="center"/>
        <w:rPr>
          <w:rFonts w:ascii="Verdana" w:eastAsia="Times New Roman" w:hAnsi="Verdana" w:cs="Times New Roman"/>
          <w:color w:val="666666"/>
          <w:sz w:val="18"/>
          <w:szCs w:val="18"/>
          <w:lang w:val="en"/>
        </w:rPr>
      </w:pPr>
    </w:p>
    <w:p w:rsidR="00F11822" w:rsidRDefault="00F11822"/>
    <w:sectPr w:rsidR="00F11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482F"/>
    <w:multiLevelType w:val="hybridMultilevel"/>
    <w:tmpl w:val="C786E778"/>
    <w:lvl w:ilvl="0" w:tplc="3348ACFE">
      <w:numFmt w:val="bullet"/>
      <w:lvlText w:val=""/>
      <w:lvlJc w:val="left"/>
      <w:pPr>
        <w:ind w:left="1080" w:hanging="360"/>
      </w:pPr>
      <w:rPr>
        <w:rFonts w:ascii="Symbol" w:eastAsia="Courier New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C2284B"/>
    <w:multiLevelType w:val="hybridMultilevel"/>
    <w:tmpl w:val="EB688256"/>
    <w:lvl w:ilvl="0" w:tplc="CF824E6C">
      <w:numFmt w:val="bullet"/>
      <w:lvlText w:val="·"/>
      <w:lvlJc w:val="left"/>
      <w:pPr>
        <w:ind w:left="720" w:hanging="360"/>
      </w:pPr>
      <w:rPr>
        <w:rFonts w:ascii="Cambria" w:eastAsia="Symbol" w:hAnsi="Cambria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36BFD"/>
    <w:multiLevelType w:val="hybridMultilevel"/>
    <w:tmpl w:val="4CA84AA0"/>
    <w:lvl w:ilvl="0" w:tplc="EFB0F6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50"/>
    <w:rsid w:val="005A23F7"/>
    <w:rsid w:val="006A2609"/>
    <w:rsid w:val="00886550"/>
    <w:rsid w:val="00CE20E4"/>
    <w:rsid w:val="00E27380"/>
    <w:rsid w:val="00E732D2"/>
    <w:rsid w:val="00E93CA6"/>
    <w:rsid w:val="00F1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5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65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5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6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19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1865">
              <w:marLeft w:val="45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1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88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32885">
              <w:marLeft w:val="45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A82C7840</Template>
  <TotalTime>10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Tenafly Public Schools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Maloney, Dana</dc:creator>
  <cp:keywords/>
  <dc:description/>
  <cp:lastModifiedBy>Ling, Diana</cp:lastModifiedBy>
  <cp:revision>4</cp:revision>
  <cp:lastPrinted>2012-04-17T18:40:00Z</cp:lastPrinted>
  <dcterms:created xsi:type="dcterms:W3CDTF">2012-04-17T14:57:00Z</dcterms:created>
  <dcterms:modified xsi:type="dcterms:W3CDTF">2012-04-17T18:42:00Z</dcterms:modified>
</cp:coreProperties>
</file>